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74" w:rsidRDefault="008F6D74" w:rsidP="008F6D74">
      <w:pPr>
        <w:jc w:val="center"/>
        <w:rPr>
          <w:sz w:val="28"/>
        </w:rPr>
      </w:pPr>
      <w:r>
        <w:rPr>
          <w:sz w:val="28"/>
        </w:rPr>
        <w:t>ANLAŞMALI BOŞANMA PROTOKOLÜ</w:t>
      </w:r>
    </w:p>
    <w:p w:rsidR="008F6D74" w:rsidRPr="00290DE6" w:rsidRDefault="008F6D74" w:rsidP="008F6D74">
      <w:pPr>
        <w:pStyle w:val="NormalWeb"/>
        <w:spacing w:before="0" w:beforeAutospacing="0" w:after="0" w:afterAutospacing="0"/>
        <w:rPr>
          <w:rStyle w:val="Gl"/>
          <w:b w:val="0"/>
          <w:i/>
          <w:sz w:val="28"/>
          <w:u w:val="single"/>
        </w:rPr>
      </w:pPr>
      <w:r w:rsidRPr="00290DE6">
        <w:rPr>
          <w:rStyle w:val="Gl"/>
          <w:b w:val="0"/>
          <w:i/>
          <w:sz w:val="28"/>
          <w:u w:val="single"/>
        </w:rPr>
        <w:t>TARAFLAR</w:t>
      </w:r>
      <w:r w:rsidRPr="00290DE6">
        <w:rPr>
          <w:rStyle w:val="Gl"/>
          <w:b w:val="0"/>
          <w:i/>
          <w:sz w:val="28"/>
          <w:u w:val="single"/>
        </w:rPr>
        <w:tab/>
      </w:r>
      <w:r w:rsidRPr="00290DE6">
        <w:rPr>
          <w:rStyle w:val="Gl"/>
          <w:b w:val="0"/>
          <w:i/>
          <w:sz w:val="28"/>
          <w:u w:val="single"/>
        </w:rPr>
        <w:tab/>
      </w:r>
      <w:r w:rsidRPr="00290DE6">
        <w:rPr>
          <w:rStyle w:val="Gl"/>
          <w:b w:val="0"/>
          <w:i/>
          <w:sz w:val="28"/>
          <w:u w:val="single"/>
        </w:rPr>
        <w:tab/>
        <w:t xml:space="preserve">: </w:t>
      </w:r>
    </w:p>
    <w:p w:rsidR="008F6D74" w:rsidRPr="00290DE6" w:rsidRDefault="008F6D74" w:rsidP="008F6D74">
      <w:pPr>
        <w:pStyle w:val="NormalWeb"/>
        <w:spacing w:before="0" w:beforeAutospacing="0" w:after="0" w:afterAutospacing="0"/>
        <w:rPr>
          <w:rStyle w:val="Gl"/>
          <w:b w:val="0"/>
          <w:i/>
          <w:sz w:val="28"/>
          <w:u w:val="single"/>
        </w:rPr>
      </w:pPr>
    </w:p>
    <w:p w:rsidR="008F6D74" w:rsidRPr="00290DE6" w:rsidRDefault="008F6D74" w:rsidP="008F6D74">
      <w:pPr>
        <w:pStyle w:val="NormalWeb"/>
        <w:spacing w:before="0" w:beforeAutospacing="0" w:after="0" w:afterAutospacing="0"/>
        <w:rPr>
          <w:rStyle w:val="Gl"/>
          <w:b w:val="0"/>
          <w:i/>
          <w:sz w:val="28"/>
          <w:u w:val="single"/>
        </w:rPr>
      </w:pPr>
      <w:r w:rsidRPr="00290DE6">
        <w:rPr>
          <w:rStyle w:val="Gl"/>
          <w:b w:val="0"/>
          <w:i/>
          <w:sz w:val="28"/>
          <w:u w:val="single"/>
        </w:rPr>
        <w:t>Davacı Eş 1</w:t>
      </w:r>
      <w:r w:rsidRPr="00290DE6">
        <w:rPr>
          <w:rStyle w:val="Gl"/>
          <w:b w:val="0"/>
          <w:i/>
          <w:sz w:val="28"/>
          <w:u w:val="single"/>
        </w:rPr>
        <w:tab/>
      </w:r>
      <w:r w:rsidRPr="00290DE6">
        <w:rPr>
          <w:rStyle w:val="Gl"/>
          <w:b w:val="0"/>
          <w:i/>
          <w:sz w:val="28"/>
          <w:u w:val="single"/>
        </w:rPr>
        <w:tab/>
      </w:r>
      <w:r w:rsidRPr="00290DE6">
        <w:rPr>
          <w:rStyle w:val="Gl"/>
          <w:b w:val="0"/>
          <w:i/>
          <w:sz w:val="28"/>
          <w:u w:val="single"/>
        </w:rPr>
        <w:tab/>
        <w:t xml:space="preserve">: </w:t>
      </w:r>
    </w:p>
    <w:p w:rsidR="008F6D74" w:rsidRPr="00290DE6" w:rsidRDefault="008F6D74" w:rsidP="008F6D74">
      <w:pPr>
        <w:pStyle w:val="NormalWeb"/>
        <w:spacing w:before="0" w:beforeAutospacing="0" w:after="0" w:afterAutospacing="0"/>
        <w:rPr>
          <w:rStyle w:val="Gl"/>
          <w:b w:val="0"/>
          <w:i/>
          <w:sz w:val="28"/>
          <w:u w:val="single"/>
        </w:rPr>
      </w:pP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Adı Soyadı</w:t>
      </w:r>
      <w:r w:rsidRPr="00290DE6">
        <w:rPr>
          <w:rStyle w:val="Gl"/>
          <w:b w:val="0"/>
          <w:sz w:val="28"/>
        </w:rPr>
        <w:tab/>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T.C. Kimlik No</w:t>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Adres</w:t>
      </w:r>
      <w:r w:rsidRPr="00290DE6">
        <w:rPr>
          <w:rStyle w:val="Gl"/>
          <w:b w:val="0"/>
          <w:sz w:val="28"/>
        </w:rPr>
        <w:tab/>
      </w:r>
      <w:r w:rsidRPr="00290DE6">
        <w:rPr>
          <w:rStyle w:val="Gl"/>
          <w:b w:val="0"/>
          <w:sz w:val="28"/>
        </w:rPr>
        <w:tab/>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i/>
          <w:sz w:val="28"/>
          <w:u w:val="single"/>
        </w:rPr>
      </w:pPr>
      <w:r w:rsidRPr="00290DE6">
        <w:rPr>
          <w:i/>
          <w:sz w:val="28"/>
          <w:u w:val="single"/>
        </w:rPr>
        <w:t>Davacı Eş 2</w:t>
      </w:r>
      <w:r w:rsidRPr="00290DE6">
        <w:rPr>
          <w:i/>
          <w:sz w:val="28"/>
          <w:u w:val="single"/>
        </w:rPr>
        <w:tab/>
      </w:r>
      <w:r w:rsidRPr="00290DE6">
        <w:rPr>
          <w:i/>
          <w:sz w:val="28"/>
          <w:u w:val="single"/>
        </w:rPr>
        <w:tab/>
      </w:r>
      <w:r w:rsidRPr="00290DE6">
        <w:rPr>
          <w:i/>
          <w:sz w:val="28"/>
          <w:u w:val="single"/>
        </w:rPr>
        <w:tab/>
        <w:t>:</w:t>
      </w:r>
    </w:p>
    <w:p w:rsidR="008F6D74" w:rsidRPr="00290DE6" w:rsidRDefault="008F6D74" w:rsidP="008F6D74">
      <w:pPr>
        <w:pStyle w:val="NormalWeb"/>
        <w:spacing w:before="0" w:beforeAutospacing="0" w:after="0" w:afterAutospacing="0"/>
        <w:rPr>
          <w:i/>
          <w:sz w:val="28"/>
          <w:u w:val="single"/>
        </w:rPr>
      </w:pP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Davacı Eş 1</w:t>
      </w:r>
      <w:r w:rsidRPr="00290DE6">
        <w:rPr>
          <w:rStyle w:val="Gl"/>
          <w:b w:val="0"/>
          <w:sz w:val="28"/>
        </w:rPr>
        <w:tab/>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Adı Soyadı</w:t>
      </w:r>
      <w:r w:rsidRPr="00290DE6">
        <w:rPr>
          <w:rStyle w:val="Gl"/>
          <w:b w:val="0"/>
          <w:sz w:val="28"/>
        </w:rPr>
        <w:tab/>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T.C. Kimlik No</w:t>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rStyle w:val="Gl"/>
          <w:b w:val="0"/>
          <w:sz w:val="28"/>
        </w:rPr>
      </w:pPr>
      <w:r w:rsidRPr="00290DE6">
        <w:rPr>
          <w:rStyle w:val="Gl"/>
          <w:b w:val="0"/>
          <w:sz w:val="28"/>
        </w:rPr>
        <w:t>Adres</w:t>
      </w:r>
      <w:r w:rsidRPr="00290DE6">
        <w:rPr>
          <w:rStyle w:val="Gl"/>
          <w:b w:val="0"/>
          <w:sz w:val="28"/>
        </w:rPr>
        <w:tab/>
      </w:r>
      <w:r w:rsidRPr="00290DE6">
        <w:rPr>
          <w:rStyle w:val="Gl"/>
          <w:b w:val="0"/>
          <w:sz w:val="28"/>
        </w:rPr>
        <w:tab/>
      </w:r>
      <w:r w:rsidRPr="00290DE6">
        <w:rPr>
          <w:rStyle w:val="Gl"/>
          <w:b w:val="0"/>
          <w:sz w:val="28"/>
        </w:rPr>
        <w:tab/>
      </w:r>
      <w:r w:rsidRPr="00290DE6">
        <w:rPr>
          <w:rStyle w:val="Gl"/>
          <w:b w:val="0"/>
          <w:sz w:val="28"/>
        </w:rPr>
        <w:tab/>
        <w:t xml:space="preserve">: </w:t>
      </w:r>
    </w:p>
    <w:p w:rsidR="008F6D74" w:rsidRPr="00290DE6" w:rsidRDefault="008F6D74" w:rsidP="008F6D74">
      <w:pPr>
        <w:pStyle w:val="NormalWeb"/>
        <w:spacing w:before="0" w:beforeAutospacing="0" w:after="0" w:afterAutospacing="0"/>
        <w:rPr>
          <w:rStyle w:val="Gl"/>
          <w:b w:val="0"/>
          <w:sz w:val="28"/>
        </w:rPr>
      </w:pPr>
    </w:p>
    <w:p w:rsidR="008F6D74" w:rsidRPr="002D7733" w:rsidRDefault="008F6D74" w:rsidP="008F6D74">
      <w:pPr>
        <w:pStyle w:val="NormalWeb"/>
        <w:spacing w:before="0" w:beforeAutospacing="0" w:after="0" w:afterAutospacing="0"/>
        <w:rPr>
          <w:rStyle w:val="Gl"/>
          <w:rFonts w:asciiTheme="minorHAnsi" w:hAnsiTheme="minorHAnsi" w:cstheme="minorHAnsi"/>
          <w:b w:val="0"/>
          <w:i/>
          <w:sz w:val="28"/>
        </w:rPr>
      </w:pPr>
      <w:r w:rsidRPr="002D7733">
        <w:rPr>
          <w:rStyle w:val="Gl"/>
          <w:rFonts w:asciiTheme="minorHAnsi" w:hAnsiTheme="minorHAnsi" w:cstheme="minorHAnsi"/>
          <w:b w:val="0"/>
          <w:i/>
          <w:sz w:val="28"/>
        </w:rPr>
        <w:t>MADDE 1 – BOŞANMA KONUSUNDA ANLAŞMA</w:t>
      </w:r>
    </w:p>
    <w:p w:rsidR="008F6D74" w:rsidRDefault="008F6D74" w:rsidP="008F6D74">
      <w:pPr>
        <w:pStyle w:val="NormalWeb"/>
        <w:spacing w:before="0" w:beforeAutospacing="0" w:after="0" w:afterAutospacing="0"/>
        <w:rPr>
          <w:rStyle w:val="Gl"/>
          <w:b w:val="0"/>
          <w:sz w:val="28"/>
        </w:rPr>
      </w:pPr>
    </w:p>
    <w:p w:rsidR="008F6D74" w:rsidRPr="004B5CD8" w:rsidRDefault="008F6D74" w:rsidP="008F6D74">
      <w:pPr>
        <w:pStyle w:val="NormalWeb"/>
        <w:spacing w:before="0" w:beforeAutospacing="0" w:after="120" w:afterAutospacing="0"/>
        <w:jc w:val="both"/>
        <w:rPr>
          <w:rFonts w:asciiTheme="minorHAnsi" w:hAnsiTheme="minorHAnsi" w:cstheme="minorHAnsi"/>
          <w:bCs/>
          <w:sz w:val="28"/>
        </w:rPr>
      </w:pPr>
      <w:r w:rsidRPr="004B5CD8">
        <w:rPr>
          <w:rStyle w:val="Gl"/>
          <w:rFonts w:asciiTheme="minorHAnsi" w:hAnsiTheme="minorHAnsi" w:cstheme="minorHAnsi"/>
          <w:b w:val="0"/>
          <w:sz w:val="28"/>
        </w:rPr>
        <w:t xml:space="preserve">Yukarıda açık kimlik ve adres bilgileri yazılı davacı </w:t>
      </w:r>
      <w:proofErr w:type="gramStart"/>
      <w:r w:rsidRPr="004B5CD8">
        <w:rPr>
          <w:rStyle w:val="Gl"/>
          <w:rFonts w:asciiTheme="minorHAnsi" w:hAnsiTheme="minorHAnsi" w:cstheme="minorHAnsi"/>
          <w:b w:val="0"/>
          <w:sz w:val="28"/>
        </w:rPr>
        <w:t>eşler …</w:t>
      </w:r>
      <w:proofErr w:type="gramEnd"/>
      <w:r w:rsidRPr="004B5CD8">
        <w:rPr>
          <w:rStyle w:val="Gl"/>
          <w:rFonts w:asciiTheme="minorHAnsi" w:hAnsiTheme="minorHAnsi" w:cstheme="minorHAnsi"/>
          <w:b w:val="0"/>
          <w:sz w:val="28"/>
        </w:rPr>
        <w:t xml:space="preserve"> </w:t>
      </w:r>
      <w:proofErr w:type="gramStart"/>
      <w:r w:rsidRPr="004B5CD8">
        <w:rPr>
          <w:rStyle w:val="Gl"/>
          <w:rFonts w:asciiTheme="minorHAnsi" w:hAnsiTheme="minorHAnsi" w:cstheme="minorHAnsi"/>
          <w:b w:val="0"/>
          <w:sz w:val="28"/>
        </w:rPr>
        <w:t>ile …</w:t>
      </w:r>
      <w:proofErr w:type="gramEnd"/>
      <w:r w:rsidRPr="004B5CD8">
        <w:rPr>
          <w:rStyle w:val="Gl"/>
          <w:rFonts w:asciiTheme="minorHAnsi" w:hAnsiTheme="minorHAnsi" w:cstheme="minorHAnsi"/>
          <w:b w:val="0"/>
          <w:sz w:val="28"/>
        </w:rPr>
        <w:t xml:space="preserve"> arasında evlilik </w:t>
      </w:r>
      <w:proofErr w:type="gramStart"/>
      <w:r w:rsidRPr="004B5CD8">
        <w:rPr>
          <w:rStyle w:val="Gl"/>
          <w:rFonts w:asciiTheme="minorHAnsi" w:hAnsiTheme="minorHAnsi" w:cstheme="minorHAnsi"/>
          <w:b w:val="0"/>
          <w:sz w:val="28"/>
        </w:rPr>
        <w:t>birliği …</w:t>
      </w:r>
      <w:proofErr w:type="gramEnd"/>
      <w:r w:rsidRPr="004B5CD8">
        <w:rPr>
          <w:rStyle w:val="Gl"/>
          <w:rFonts w:asciiTheme="minorHAnsi" w:hAnsiTheme="minorHAnsi" w:cstheme="minorHAnsi"/>
          <w:b w:val="0"/>
          <w:sz w:val="28"/>
        </w:rPr>
        <w:t xml:space="preserve"> </w:t>
      </w:r>
      <w:proofErr w:type="gramStart"/>
      <w:r w:rsidRPr="004B5CD8">
        <w:rPr>
          <w:rStyle w:val="Gl"/>
          <w:rFonts w:asciiTheme="minorHAnsi" w:hAnsiTheme="minorHAnsi" w:cstheme="minorHAnsi"/>
          <w:b w:val="0"/>
          <w:sz w:val="28"/>
        </w:rPr>
        <w:t>tarihinde</w:t>
      </w:r>
      <w:proofErr w:type="gramEnd"/>
      <w:r w:rsidRPr="004B5CD8">
        <w:rPr>
          <w:rStyle w:val="Gl"/>
          <w:rFonts w:asciiTheme="minorHAnsi" w:hAnsiTheme="minorHAnsi" w:cstheme="minorHAnsi"/>
          <w:b w:val="0"/>
          <w:sz w:val="28"/>
        </w:rPr>
        <w:t xml:space="preserve"> kurulmuş olup, evlilik birlikteliğinin kurulmasından bu güne farklı konularda fikir uyuşmazlıkları bulunması nedeniyle evlilik birliği temelinden sarsılmıştır. Eşlerin birlikte yaşamalarını artık kendilerinden beklenemez hale geldiğinden her iki eş özgür iradeleri ile boşanmayı isteyip boşanmayı kabul etmişlerdir. </w:t>
      </w:r>
    </w:p>
    <w:p w:rsidR="008F6D74" w:rsidRDefault="008F6D74" w:rsidP="008F6D74">
      <w:pPr>
        <w:spacing w:after="120"/>
        <w:jc w:val="both"/>
        <w:rPr>
          <w:sz w:val="28"/>
        </w:rPr>
      </w:pPr>
      <w:r>
        <w:rPr>
          <w:sz w:val="28"/>
        </w:rPr>
        <w:t>MADDE -2 NAFAKAYA İLİŞKİN TALEPLER</w:t>
      </w:r>
    </w:p>
    <w:p w:rsidR="008F6D74" w:rsidRDefault="008F6D74" w:rsidP="008F6D74">
      <w:pPr>
        <w:pStyle w:val="ListeParagraf"/>
        <w:numPr>
          <w:ilvl w:val="0"/>
          <w:numId w:val="1"/>
        </w:numPr>
        <w:jc w:val="both"/>
        <w:rPr>
          <w:sz w:val="28"/>
        </w:rPr>
      </w:pPr>
      <w:r w:rsidRPr="004B5CD8">
        <w:rPr>
          <w:i/>
          <w:sz w:val="28"/>
          <w:u w:val="single"/>
        </w:rPr>
        <w:t>Yoksulluk nafakası</w:t>
      </w:r>
      <w:r>
        <w:rPr>
          <w:sz w:val="28"/>
        </w:rPr>
        <w:t xml:space="preserve">; </w:t>
      </w:r>
      <w:proofErr w:type="gramStart"/>
      <w:r>
        <w:rPr>
          <w:sz w:val="28"/>
        </w:rPr>
        <w:t>Eş …</w:t>
      </w:r>
      <w:proofErr w:type="gramEnd"/>
      <w:r>
        <w:rPr>
          <w:sz w:val="28"/>
        </w:rPr>
        <w:t xml:space="preserve"> tarafından </w:t>
      </w:r>
      <w:proofErr w:type="gramStart"/>
      <w:r>
        <w:rPr>
          <w:sz w:val="28"/>
        </w:rPr>
        <w:t>diğer …</w:t>
      </w:r>
      <w:proofErr w:type="gramEnd"/>
      <w:r>
        <w:rPr>
          <w:sz w:val="28"/>
        </w:rPr>
        <w:t xml:space="preserve"> lehine </w:t>
      </w:r>
      <w:proofErr w:type="gramStart"/>
      <w:r>
        <w:rPr>
          <w:sz w:val="28"/>
        </w:rPr>
        <w:t>aylık …</w:t>
      </w:r>
      <w:proofErr w:type="gramEnd"/>
      <w:r>
        <w:rPr>
          <w:sz w:val="28"/>
        </w:rPr>
        <w:t xml:space="preserve"> TL tutarında nafaka ödenmesine kararlaştırılmış, nafaka artışının her yıl düzenli olarak TÜFE oranında yapılmasına ve her </w:t>
      </w:r>
      <w:proofErr w:type="gramStart"/>
      <w:r>
        <w:rPr>
          <w:sz w:val="28"/>
        </w:rPr>
        <w:t>ayın …</w:t>
      </w:r>
      <w:proofErr w:type="gramEnd"/>
      <w:r>
        <w:rPr>
          <w:sz w:val="28"/>
        </w:rPr>
        <w:t xml:space="preserve"> - … günleri arasında nafaka alacaklısı eşe </w:t>
      </w:r>
      <w:proofErr w:type="gramStart"/>
      <w:r>
        <w:rPr>
          <w:sz w:val="28"/>
        </w:rPr>
        <w:t>ait …</w:t>
      </w:r>
      <w:proofErr w:type="gramEnd"/>
      <w:r>
        <w:rPr>
          <w:sz w:val="28"/>
        </w:rPr>
        <w:t xml:space="preserve"> </w:t>
      </w:r>
      <w:proofErr w:type="spellStart"/>
      <w:r>
        <w:rPr>
          <w:sz w:val="28"/>
        </w:rPr>
        <w:t>nolu</w:t>
      </w:r>
      <w:proofErr w:type="spellEnd"/>
      <w:r>
        <w:rPr>
          <w:sz w:val="28"/>
        </w:rPr>
        <w:t xml:space="preserve"> IBAN hesabına yatırılması konusunda anlaşmaya varılmıştır. </w:t>
      </w:r>
    </w:p>
    <w:p w:rsidR="008F6D74" w:rsidRDefault="008F6D74" w:rsidP="008F6D74">
      <w:pPr>
        <w:pStyle w:val="ListeParagraf"/>
        <w:numPr>
          <w:ilvl w:val="0"/>
          <w:numId w:val="1"/>
        </w:numPr>
        <w:jc w:val="both"/>
        <w:rPr>
          <w:sz w:val="28"/>
        </w:rPr>
      </w:pPr>
      <w:r w:rsidRPr="004B5CD8">
        <w:rPr>
          <w:i/>
          <w:sz w:val="28"/>
          <w:u w:val="single"/>
        </w:rPr>
        <w:t>İştirak Nafakası</w:t>
      </w:r>
      <w:r>
        <w:rPr>
          <w:sz w:val="28"/>
        </w:rPr>
        <w:t xml:space="preserve">; Eşlerin evlilik birlikteliğinden ortak çocukları bulunmaması nedeniyle iştirak nafakası talepleri bulunmamaktadır. </w:t>
      </w:r>
    </w:p>
    <w:p w:rsidR="008F6D74" w:rsidRDefault="008F6D74" w:rsidP="008F6D74">
      <w:pPr>
        <w:pStyle w:val="ListeParagraf"/>
        <w:numPr>
          <w:ilvl w:val="0"/>
          <w:numId w:val="1"/>
        </w:numPr>
        <w:jc w:val="both"/>
        <w:rPr>
          <w:sz w:val="28"/>
        </w:rPr>
      </w:pPr>
      <w:r w:rsidRPr="004B5CD8">
        <w:rPr>
          <w:i/>
          <w:sz w:val="28"/>
          <w:u w:val="single"/>
        </w:rPr>
        <w:t>Tedbir nafakası</w:t>
      </w:r>
      <w:r>
        <w:rPr>
          <w:sz w:val="28"/>
        </w:rPr>
        <w:t xml:space="preserve">; Her iki eş boşanma davası sonuçlanana kadar tedbir nafakası talep etmemektedirler. </w:t>
      </w:r>
    </w:p>
    <w:p w:rsidR="008F6D74" w:rsidRPr="002D7733" w:rsidRDefault="008F6D74" w:rsidP="008F6D74">
      <w:pPr>
        <w:jc w:val="both"/>
        <w:rPr>
          <w:i/>
          <w:sz w:val="28"/>
        </w:rPr>
      </w:pPr>
      <w:r w:rsidRPr="002D7733">
        <w:rPr>
          <w:i/>
          <w:sz w:val="28"/>
        </w:rPr>
        <w:t>MADDE -3 MADDİ MANEVİ TAZMİNAT</w:t>
      </w:r>
    </w:p>
    <w:p w:rsidR="008F6D74" w:rsidRDefault="008F6D74" w:rsidP="008F6D74">
      <w:pPr>
        <w:pStyle w:val="ListeParagraf"/>
        <w:numPr>
          <w:ilvl w:val="0"/>
          <w:numId w:val="1"/>
        </w:numPr>
        <w:jc w:val="both"/>
        <w:rPr>
          <w:sz w:val="28"/>
        </w:rPr>
      </w:pPr>
      <w:r>
        <w:rPr>
          <w:sz w:val="28"/>
        </w:rPr>
        <w:t xml:space="preserve">Manevi tazminat; Eşlerin birbirlerinden manevi tazminat talepleri bulunmamaktadır. </w:t>
      </w:r>
    </w:p>
    <w:p w:rsidR="008F6D74" w:rsidRDefault="008F6D74" w:rsidP="008F6D74">
      <w:pPr>
        <w:pStyle w:val="ListeParagraf"/>
        <w:numPr>
          <w:ilvl w:val="0"/>
          <w:numId w:val="1"/>
        </w:numPr>
        <w:jc w:val="both"/>
        <w:rPr>
          <w:sz w:val="28"/>
        </w:rPr>
      </w:pPr>
      <w:r>
        <w:rPr>
          <w:sz w:val="28"/>
        </w:rPr>
        <w:lastRenderedPageBreak/>
        <w:t xml:space="preserve">Maddi tazminat; Eşlerden …’in boşanmaya bağlı olarak kısmen de olsa belirli bir süre yoksulluğa düşeceğinden dolayı diğer </w:t>
      </w:r>
      <w:proofErr w:type="gramStart"/>
      <w:r>
        <w:rPr>
          <w:sz w:val="28"/>
        </w:rPr>
        <w:t>eş …</w:t>
      </w:r>
      <w:proofErr w:type="gramEnd"/>
      <w:r>
        <w:rPr>
          <w:sz w:val="28"/>
        </w:rPr>
        <w:t xml:space="preserve"> tarafından </w:t>
      </w:r>
      <w:proofErr w:type="gramStart"/>
      <w:r>
        <w:rPr>
          <w:sz w:val="28"/>
        </w:rPr>
        <w:t>toplam …</w:t>
      </w:r>
      <w:proofErr w:type="gramEnd"/>
      <w:r>
        <w:rPr>
          <w:sz w:val="28"/>
        </w:rPr>
        <w:t xml:space="preserve"> TL olmak üzere maddi tazminat ödemeyi kabul etmiş, ödemeler boşanma kararının kesinleşmesinden itibaren 15 gün içerisinde eşe </w:t>
      </w:r>
      <w:proofErr w:type="gramStart"/>
      <w:r>
        <w:rPr>
          <w:sz w:val="28"/>
        </w:rPr>
        <w:t>ait …</w:t>
      </w:r>
      <w:proofErr w:type="gramEnd"/>
      <w:r>
        <w:rPr>
          <w:sz w:val="28"/>
        </w:rPr>
        <w:t xml:space="preserve"> </w:t>
      </w:r>
      <w:proofErr w:type="spellStart"/>
      <w:r>
        <w:rPr>
          <w:sz w:val="28"/>
        </w:rPr>
        <w:t>nolu</w:t>
      </w:r>
      <w:proofErr w:type="spellEnd"/>
      <w:r>
        <w:rPr>
          <w:sz w:val="28"/>
        </w:rPr>
        <w:t xml:space="preserve"> IBAN hesabına tamamı tek seferde yatırılacaktır. </w:t>
      </w:r>
    </w:p>
    <w:p w:rsidR="008F6D74" w:rsidRPr="002D7733" w:rsidRDefault="008F6D74" w:rsidP="008F6D74">
      <w:pPr>
        <w:jc w:val="both"/>
        <w:rPr>
          <w:i/>
          <w:sz w:val="28"/>
        </w:rPr>
      </w:pPr>
      <w:r w:rsidRPr="002D7733">
        <w:rPr>
          <w:i/>
          <w:sz w:val="28"/>
        </w:rPr>
        <w:t>MADDE -4 MAL PAYLAŞIMI</w:t>
      </w:r>
    </w:p>
    <w:p w:rsidR="008F6D74" w:rsidRDefault="008F6D74" w:rsidP="008F6D74">
      <w:pPr>
        <w:jc w:val="both"/>
        <w:rPr>
          <w:sz w:val="28"/>
        </w:rPr>
      </w:pPr>
      <w:r>
        <w:rPr>
          <w:sz w:val="28"/>
        </w:rPr>
        <w:t xml:space="preserve">Eşlerin evlilik birlikteliği sırasında edinilmiş olan malları aşağıdaki gibi paylaşmaları konusunda da anlaşmaya varmışlardır </w:t>
      </w:r>
    </w:p>
    <w:p w:rsidR="008F6D74" w:rsidRDefault="008F6D74" w:rsidP="008F6D74">
      <w:pPr>
        <w:pStyle w:val="ListeParagraf"/>
        <w:numPr>
          <w:ilvl w:val="0"/>
          <w:numId w:val="2"/>
        </w:numPr>
        <w:jc w:val="both"/>
        <w:rPr>
          <w:sz w:val="28"/>
        </w:rPr>
      </w:pPr>
      <w:r>
        <w:rPr>
          <w:sz w:val="28"/>
        </w:rPr>
        <w:t xml:space="preserve">… Adresinde bulunan taşınmaz eşlerden …’e ait olacak şekilde </w:t>
      </w:r>
    </w:p>
    <w:p w:rsidR="008F6D74" w:rsidRDefault="008F6D74" w:rsidP="008F6D74">
      <w:pPr>
        <w:pStyle w:val="ListeParagraf"/>
        <w:numPr>
          <w:ilvl w:val="0"/>
          <w:numId w:val="2"/>
        </w:numPr>
        <w:jc w:val="both"/>
        <w:rPr>
          <w:sz w:val="28"/>
        </w:rPr>
      </w:pPr>
      <w:r>
        <w:rPr>
          <w:sz w:val="28"/>
        </w:rPr>
        <w:t xml:space="preserve">… </w:t>
      </w:r>
      <w:proofErr w:type="gramStart"/>
      <w:r>
        <w:rPr>
          <w:sz w:val="28"/>
        </w:rPr>
        <w:t>plaka</w:t>
      </w:r>
      <w:proofErr w:type="gramEnd"/>
      <w:r>
        <w:rPr>
          <w:sz w:val="28"/>
        </w:rPr>
        <w:t xml:space="preserve"> sayılı eşin diğer eş …’e ait olacak şekilde </w:t>
      </w:r>
    </w:p>
    <w:p w:rsidR="008F6D74" w:rsidRDefault="008F6D74" w:rsidP="008F6D74">
      <w:pPr>
        <w:pStyle w:val="ListeParagraf"/>
        <w:numPr>
          <w:ilvl w:val="0"/>
          <w:numId w:val="2"/>
        </w:numPr>
        <w:jc w:val="both"/>
        <w:rPr>
          <w:sz w:val="28"/>
        </w:rPr>
      </w:pPr>
      <w:r>
        <w:rPr>
          <w:sz w:val="28"/>
        </w:rPr>
        <w:t xml:space="preserve">Evlilik birlikteliği sırasında eşlerin ortak birikimi </w:t>
      </w:r>
      <w:proofErr w:type="gramStart"/>
      <w:r>
        <w:rPr>
          <w:sz w:val="28"/>
        </w:rPr>
        <w:t>olan …</w:t>
      </w:r>
      <w:proofErr w:type="gramEnd"/>
      <w:r>
        <w:rPr>
          <w:sz w:val="28"/>
        </w:rPr>
        <w:t xml:space="preserve"> </w:t>
      </w:r>
      <w:proofErr w:type="spellStart"/>
      <w:r>
        <w:rPr>
          <w:sz w:val="28"/>
        </w:rPr>
        <w:t>nolu</w:t>
      </w:r>
      <w:proofErr w:type="spellEnd"/>
      <w:r>
        <w:rPr>
          <w:sz w:val="28"/>
        </w:rPr>
        <w:t xml:space="preserve"> banka hesabında bulunan paranın eşit bir şekilde paylaşılmasına,</w:t>
      </w:r>
    </w:p>
    <w:p w:rsidR="008F6D74" w:rsidRDefault="008F6D74" w:rsidP="008F6D74">
      <w:pPr>
        <w:pStyle w:val="ListeParagraf"/>
        <w:numPr>
          <w:ilvl w:val="0"/>
          <w:numId w:val="2"/>
        </w:numPr>
        <w:jc w:val="both"/>
        <w:rPr>
          <w:sz w:val="28"/>
        </w:rPr>
      </w:pPr>
      <w:r>
        <w:rPr>
          <w:sz w:val="28"/>
        </w:rPr>
        <w:t xml:space="preserve">Ortak konutta bulunan ev eşyalarının yine taşınmaza sahip olacak olan …’e bırakılması </w:t>
      </w:r>
    </w:p>
    <w:p w:rsidR="008F6D74" w:rsidRPr="002D7733" w:rsidRDefault="008F6D74" w:rsidP="008F6D74">
      <w:pPr>
        <w:jc w:val="both"/>
        <w:rPr>
          <w:i/>
          <w:sz w:val="28"/>
        </w:rPr>
      </w:pPr>
      <w:r w:rsidRPr="002D7733">
        <w:rPr>
          <w:i/>
          <w:sz w:val="28"/>
        </w:rPr>
        <w:t>MADDE -5 SOYADI KULLANIMI</w:t>
      </w:r>
    </w:p>
    <w:p w:rsidR="008F6D74" w:rsidRDefault="008F6D74" w:rsidP="008F6D74">
      <w:pPr>
        <w:jc w:val="both"/>
        <w:rPr>
          <w:sz w:val="28"/>
        </w:rPr>
      </w:pPr>
      <w:r>
        <w:rPr>
          <w:sz w:val="28"/>
        </w:rPr>
        <w:t xml:space="preserve">Boşanma kararının kesinleşmesinden sonra kadın </w:t>
      </w:r>
      <w:proofErr w:type="gramStart"/>
      <w:r>
        <w:rPr>
          <w:sz w:val="28"/>
        </w:rPr>
        <w:t>eş …</w:t>
      </w:r>
      <w:proofErr w:type="gramEnd"/>
      <w:r>
        <w:rPr>
          <w:sz w:val="28"/>
        </w:rPr>
        <w:t xml:space="preserve"> 1 ay içerisinde ilgili makamlara başvurarak soyadını değiştirecektir. </w:t>
      </w:r>
    </w:p>
    <w:p w:rsidR="008F6D74" w:rsidRPr="002D7733" w:rsidRDefault="008F6D74" w:rsidP="008F6D74">
      <w:pPr>
        <w:jc w:val="both"/>
        <w:rPr>
          <w:i/>
          <w:sz w:val="28"/>
        </w:rPr>
      </w:pPr>
      <w:r w:rsidRPr="002D7733">
        <w:rPr>
          <w:i/>
          <w:sz w:val="28"/>
        </w:rPr>
        <w:t xml:space="preserve">MADDE -6 DAVA MASRAFLARI VE </w:t>
      </w:r>
      <w:proofErr w:type="gramStart"/>
      <w:r w:rsidRPr="002D7733">
        <w:rPr>
          <w:i/>
          <w:sz w:val="28"/>
        </w:rPr>
        <w:t>VEKALET</w:t>
      </w:r>
      <w:proofErr w:type="gramEnd"/>
      <w:r w:rsidRPr="002D7733">
        <w:rPr>
          <w:i/>
          <w:sz w:val="28"/>
        </w:rPr>
        <w:t xml:space="preserve"> ÜCRETİ</w:t>
      </w:r>
    </w:p>
    <w:p w:rsidR="008F6D74" w:rsidRDefault="008F6D74" w:rsidP="008F6D74">
      <w:pPr>
        <w:jc w:val="both"/>
        <w:rPr>
          <w:sz w:val="28"/>
        </w:rPr>
      </w:pPr>
      <w:r>
        <w:rPr>
          <w:sz w:val="28"/>
        </w:rPr>
        <w:t xml:space="preserve">Anlaşmalı boşanma davası öncesi de dava aşamasında ve sonrasında doğacak dava masrafları, yargılama giderleri ve vekalet </w:t>
      </w:r>
      <w:proofErr w:type="gramStart"/>
      <w:r>
        <w:rPr>
          <w:sz w:val="28"/>
        </w:rPr>
        <w:t>ücretleri …</w:t>
      </w:r>
      <w:proofErr w:type="gramEnd"/>
      <w:r>
        <w:rPr>
          <w:sz w:val="28"/>
        </w:rPr>
        <w:t xml:space="preserve"> </w:t>
      </w:r>
      <w:proofErr w:type="gramStart"/>
      <w:r>
        <w:rPr>
          <w:sz w:val="28"/>
        </w:rPr>
        <w:t>eş</w:t>
      </w:r>
      <w:proofErr w:type="gramEnd"/>
      <w:r>
        <w:rPr>
          <w:sz w:val="28"/>
        </w:rPr>
        <w:t xml:space="preserve"> tarafından karşılanacaktır. </w:t>
      </w:r>
    </w:p>
    <w:p w:rsidR="008F6D74" w:rsidRPr="002D7733" w:rsidRDefault="008F6D74" w:rsidP="008F6D74">
      <w:pPr>
        <w:jc w:val="both"/>
        <w:rPr>
          <w:i/>
          <w:sz w:val="28"/>
        </w:rPr>
      </w:pPr>
      <w:r w:rsidRPr="002D7733">
        <w:rPr>
          <w:i/>
          <w:sz w:val="28"/>
        </w:rPr>
        <w:t>MADDE -7 KARŞILIKLI FERAGAT</w:t>
      </w:r>
    </w:p>
    <w:p w:rsidR="008F6D74" w:rsidRDefault="008F6D74" w:rsidP="008F6D74">
      <w:pPr>
        <w:jc w:val="both"/>
        <w:rPr>
          <w:sz w:val="28"/>
        </w:rPr>
      </w:pPr>
      <w:r>
        <w:rPr>
          <w:sz w:val="28"/>
        </w:rPr>
        <w:t xml:space="preserve">Her iki eş yukarıda sıralanmış hak ve yükümlülükler haricinde evlilik birlikteliğinin sona ermesinden sonra mal paylaşımı, tazminat veya nafaka gibi sair konularda herhangi bir talepte bulunamayacaklardır. </w:t>
      </w:r>
    </w:p>
    <w:p w:rsidR="008F6D74" w:rsidRPr="002D7733" w:rsidRDefault="008F6D74" w:rsidP="008F6D74">
      <w:pPr>
        <w:jc w:val="both"/>
        <w:rPr>
          <w:i/>
          <w:sz w:val="28"/>
        </w:rPr>
      </w:pPr>
      <w:r w:rsidRPr="002D7733">
        <w:rPr>
          <w:i/>
          <w:sz w:val="28"/>
        </w:rPr>
        <w:t>MADDE -8 AÇIK İRADE BEYANI</w:t>
      </w:r>
    </w:p>
    <w:p w:rsidR="00441773" w:rsidRPr="008F6D74" w:rsidRDefault="008F6D74" w:rsidP="008F6D74">
      <w:pPr>
        <w:jc w:val="both"/>
        <w:rPr>
          <w:sz w:val="28"/>
        </w:rPr>
      </w:pPr>
      <w:r>
        <w:rPr>
          <w:sz w:val="28"/>
        </w:rPr>
        <w:t xml:space="preserve">İstanbul Barosuna Kayıtlı </w:t>
      </w:r>
      <w:proofErr w:type="gramStart"/>
      <w:r>
        <w:rPr>
          <w:sz w:val="28"/>
        </w:rPr>
        <w:t>Avukat …</w:t>
      </w:r>
      <w:proofErr w:type="gramEnd"/>
      <w:r>
        <w:rPr>
          <w:sz w:val="28"/>
        </w:rPr>
        <w:t xml:space="preserve"> huzurunda hazırlanan bu protokol; Eşlerin herhangi bir baskı, tehdit veya zorlama altında bulunmaksızın özgür iradeleri ile 3 nüsha </w:t>
      </w:r>
      <w:proofErr w:type="gramStart"/>
      <w:r>
        <w:rPr>
          <w:sz w:val="28"/>
        </w:rPr>
        <w:t>olarak …</w:t>
      </w:r>
      <w:proofErr w:type="gramEnd"/>
      <w:r>
        <w:rPr>
          <w:sz w:val="28"/>
        </w:rPr>
        <w:t xml:space="preserve"> </w:t>
      </w:r>
      <w:proofErr w:type="gramStart"/>
      <w:r>
        <w:rPr>
          <w:sz w:val="28"/>
        </w:rPr>
        <w:t>tarihinde</w:t>
      </w:r>
      <w:proofErr w:type="gramEnd"/>
      <w:r>
        <w:rPr>
          <w:sz w:val="28"/>
        </w:rPr>
        <w:t xml:space="preserve"> düzenlenip aynı gün imza altına alınmıştır. (İmzalar – Eş1, Eş2, Boşanma Avukatı)</w:t>
      </w:r>
    </w:p>
    <w:sectPr w:rsidR="00441773" w:rsidRPr="008F6D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C50"/>
    <w:multiLevelType w:val="hybridMultilevel"/>
    <w:tmpl w:val="10828B30"/>
    <w:lvl w:ilvl="0" w:tplc="1ACC6514">
      <w:start w:val="20"/>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F5748D"/>
    <w:multiLevelType w:val="hybridMultilevel"/>
    <w:tmpl w:val="FD16EE62"/>
    <w:lvl w:ilvl="0" w:tplc="30745B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F6D74"/>
    <w:rsid w:val="00441773"/>
    <w:rsid w:val="008F6D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6D74"/>
    <w:pPr>
      <w:ind w:left="720"/>
      <w:contextualSpacing/>
    </w:pPr>
  </w:style>
  <w:style w:type="paragraph" w:styleId="NormalWeb">
    <w:name w:val="Normal (Web)"/>
    <w:basedOn w:val="Normal"/>
    <w:uiPriority w:val="99"/>
    <w:unhideWhenUsed/>
    <w:rsid w:val="008F6D7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F6D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2025-11-26T11:19:00Z</dcterms:created>
  <dcterms:modified xsi:type="dcterms:W3CDTF">2025-11-26T11:19:00Z</dcterms:modified>
</cp:coreProperties>
</file>