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grfa05nt2saf" w:id="0"/>
      <w:bookmarkEnd w:id="0"/>
      <w:r w:rsidDel="00000000" w:rsidR="00000000" w:rsidRPr="00000000">
        <w:rPr>
          <w:b w:val="1"/>
          <w:bCs w:val="1"/>
          <w:sz w:val="34"/>
          <w:szCs w:val="34"/>
          <w:rtl w:val="0"/>
        </w:rPr>
        <w:t xml:space="preserve">Aile Mahkemesi İstinaf Dilekçesi Örneği</w:t>
      </w:r>
    </w:p>
    <w:p w:rsidR="00000000" w:rsidDel="00000000" w:rsidP="00000000" w:rsidRDefault="00000000" w:rsidRPr="00000000" w14:paraId="00000002">
      <w:pPr>
        <w:spacing w:after="240" w:before="240" w:lineRule="auto"/>
        <w:rPr/>
      </w:pPr>
      <w:r w:rsidDel="00000000" w:rsidR="00000000" w:rsidRPr="00000000">
        <w:rPr>
          <w:rtl w:val="0"/>
        </w:rPr>
        <w:t xml:space="preserve">… BÖLGE ADLİYE MAHKEMESİ</w:t>
      </w:r>
    </w:p>
    <w:p w:rsidR="00000000" w:rsidDel="00000000" w:rsidP="00000000" w:rsidRDefault="00000000" w:rsidRPr="00000000" w14:paraId="00000003">
      <w:pPr>
        <w:spacing w:after="240" w:before="240" w:lineRule="auto"/>
        <w:rPr/>
      </w:pPr>
      <w:r w:rsidDel="00000000" w:rsidR="00000000" w:rsidRPr="00000000">
        <w:rPr>
          <w:rtl w:val="0"/>
        </w:rPr>
        <w:t xml:space="preserve">… HUKUK DAİRESİ’NE</w:t>
      </w:r>
    </w:p>
    <w:p w:rsidR="00000000" w:rsidDel="00000000" w:rsidP="00000000" w:rsidRDefault="00000000" w:rsidRPr="00000000" w14:paraId="00000004">
      <w:pPr>
        <w:spacing w:after="240" w:before="240" w:lineRule="auto"/>
        <w:rPr/>
      </w:pPr>
      <w:r w:rsidDel="00000000" w:rsidR="00000000" w:rsidRPr="00000000">
        <w:rPr>
          <w:rtl w:val="0"/>
        </w:rPr>
        <w:t xml:space="preserve">Gönderilmek Üzere</w:t>
      </w:r>
    </w:p>
    <w:p w:rsidR="00000000" w:rsidDel="00000000" w:rsidP="00000000" w:rsidRDefault="00000000" w:rsidRPr="00000000" w14:paraId="00000005">
      <w:pPr>
        <w:spacing w:after="240" w:before="240" w:lineRule="auto"/>
        <w:rPr/>
      </w:pPr>
      <w:r w:rsidDel="00000000" w:rsidR="00000000" w:rsidRPr="00000000">
        <w:rPr>
          <w:rtl w:val="0"/>
        </w:rPr>
        <w:t xml:space="preserve">… AİLE MAHKEMESİ’NE</w:t>
      </w:r>
    </w:p>
    <w:p w:rsidR="00000000" w:rsidDel="00000000" w:rsidP="00000000" w:rsidRDefault="00000000" w:rsidRPr="00000000" w14:paraId="00000006">
      <w:pPr>
        <w:spacing w:after="240" w:before="240" w:lineRule="auto"/>
        <w:rPr/>
      </w:pPr>
      <w:r w:rsidDel="00000000" w:rsidR="00000000" w:rsidRPr="00000000">
        <w:rPr>
          <w:rtl w:val="0"/>
        </w:rPr>
        <w:t xml:space="preserve">İSTİNAF EDEN (DAVACI / DAVALI) : </w:t>
      </w:r>
    </w:p>
    <w:p w:rsidR="00000000" w:rsidDel="00000000" w:rsidP="00000000" w:rsidRDefault="00000000" w:rsidRPr="00000000" w14:paraId="00000007">
      <w:pPr>
        <w:spacing w:after="240" w:before="240" w:lineRule="auto"/>
        <w:rPr/>
      </w:pPr>
      <w:r w:rsidDel="00000000" w:rsidR="00000000" w:rsidRPr="00000000">
        <w:rPr>
          <w:rtl w:val="0"/>
        </w:rPr>
        <w:t xml:space="preserve">Adı Soyadı – Açık Kimlik Bilgileri : </w:t>
      </w:r>
    </w:p>
    <w:p w:rsidR="00000000" w:rsidDel="00000000" w:rsidP="00000000" w:rsidRDefault="00000000" w:rsidRPr="00000000" w14:paraId="00000008">
      <w:pPr>
        <w:spacing w:after="240" w:before="240" w:lineRule="auto"/>
        <w:rPr/>
      </w:pPr>
      <w:r w:rsidDel="00000000" w:rsidR="00000000" w:rsidRPr="00000000">
        <w:rPr>
          <w:rtl w:val="0"/>
        </w:rPr>
        <w:t xml:space="preserve">Adres : </w:t>
      </w:r>
    </w:p>
    <w:p w:rsidR="00000000" w:rsidDel="00000000" w:rsidP="00000000" w:rsidRDefault="00000000" w:rsidRPr="00000000" w14:paraId="00000009">
      <w:pPr>
        <w:spacing w:after="240" w:before="240" w:lineRule="auto"/>
        <w:rPr/>
      </w:pPr>
      <w:r w:rsidDel="00000000" w:rsidR="00000000" w:rsidRPr="00000000">
        <w:rPr>
          <w:rtl w:val="0"/>
        </w:rPr>
        <w:t xml:space="preserve">KARŞI TARAF : </w:t>
      </w:r>
    </w:p>
    <w:p w:rsidR="00000000" w:rsidDel="00000000" w:rsidP="00000000" w:rsidRDefault="00000000" w:rsidRPr="00000000" w14:paraId="0000000A">
      <w:pPr>
        <w:spacing w:after="240" w:before="240" w:lineRule="auto"/>
        <w:rPr/>
      </w:pPr>
      <w:r w:rsidDel="00000000" w:rsidR="00000000" w:rsidRPr="00000000">
        <w:rPr>
          <w:rtl w:val="0"/>
        </w:rPr>
        <w:t xml:space="preserve">Adı Soyadı – Açık Kimlik Bilgileri : </w:t>
      </w:r>
    </w:p>
    <w:p w:rsidR="00000000" w:rsidDel="00000000" w:rsidP="00000000" w:rsidRDefault="00000000" w:rsidRPr="00000000" w14:paraId="0000000B">
      <w:pPr>
        <w:spacing w:after="240" w:before="240" w:lineRule="auto"/>
        <w:rPr/>
      </w:pPr>
      <w:r w:rsidDel="00000000" w:rsidR="00000000" w:rsidRPr="00000000">
        <w:rPr>
          <w:rtl w:val="0"/>
        </w:rPr>
        <w:t xml:space="preserve">Adres : </w:t>
      </w:r>
    </w:p>
    <w:p w:rsidR="00000000" w:rsidDel="00000000" w:rsidP="00000000" w:rsidRDefault="00000000" w:rsidRPr="00000000" w14:paraId="0000000C">
      <w:pPr>
        <w:spacing w:after="240" w:before="240" w:lineRule="auto"/>
        <w:rPr/>
      </w:pPr>
      <w:r w:rsidDel="00000000" w:rsidR="00000000" w:rsidRPr="00000000">
        <w:rPr>
          <w:rtl w:val="0"/>
        </w:rPr>
        <w:t xml:space="preserve">DOSYA BİLGİLERİ : … Aile Mahkemesinin … tarih, esas ve … sayılı kararı</w:t>
      </w:r>
    </w:p>
    <w:p w:rsidR="00000000" w:rsidDel="00000000" w:rsidP="00000000" w:rsidRDefault="00000000" w:rsidRPr="00000000" w14:paraId="0000000D">
      <w:pPr>
        <w:spacing w:after="240" w:before="240" w:lineRule="auto"/>
        <w:rPr/>
      </w:pPr>
      <w:r w:rsidDel="00000000" w:rsidR="00000000" w:rsidRPr="00000000">
        <w:rPr>
          <w:rtl w:val="0"/>
        </w:rPr>
        <w:t xml:space="preserve">TEBLİĞ TARİHİ : …/…/…</w:t>
      </w:r>
    </w:p>
    <w:p w:rsidR="00000000" w:rsidDel="00000000" w:rsidP="00000000" w:rsidRDefault="00000000" w:rsidRPr="00000000" w14:paraId="0000000E">
      <w:pPr>
        <w:spacing w:after="240" w:before="240" w:lineRule="auto"/>
        <w:rPr/>
      </w:pPr>
      <w:r w:rsidDel="00000000" w:rsidR="00000000" w:rsidRPr="00000000">
        <w:rPr>
          <w:rtl w:val="0"/>
        </w:rPr>
        <w:t xml:space="preserve">İSTİNAF NEDENLERİ : </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rtl w:val="0"/>
        </w:rPr>
        <w:t xml:space="preserve">Karar hukuka ve usule aykırıdır; … Aile Mahkemesi HMK’nın 27 ve 31 maddeleri gereğince yapması gereken bütün hukuki incelemeyi eksik olarak yapmış, deliller tam olarak değerlendirilmemiştir. </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Yerel mahkemenin vermiş olduğu karar kabul edilebilir açıklamalar içermemektedir. Bu nedenle yetersiz gerekçe ile hüküm kurulmuştur. </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Boşanma davası sonucu nafaka ve velayet konusunda karar verilirken tarafların sosyal ve ekonomik durum araştırmaları yapılmaksızın hüküm kurulmuştur. Esasa etki edebilecek bu derecede önemli delillerin toplanmaksızın hüküm kurulması usul ve esasa aykırıdır. </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 tarihli duruşmada tanıkların mahkemede vermiş olduğu beyanlarındaki çelişkiler giderilmeksizin karar verilmesi eksik incelemeye sebebiyet vermiştir. </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Aile Mahkemeleri çocuğun velayeti konusunda karar verirken öncelikle çocuğun üstün menfaatini gözetmekle yükümlüdürler. Velayet konusunda karar verilirken bu konuda pedagog görüşü alınmamış ve çocuğun yaş cinsiyet ile eğitim durumu dikkate alınmaksızın karar verilmiştir. </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Davalının sosyal ve ekonomik durumu incelenmeksizin nafaka ve tazminat miktarının belirlenmesi hakkaniyetsiz bir şekilde miktar tayini yapıldığının bir göstergesidir. Bu nedenle nafaka ve tazminat konusunda yeniden bir değerlendirme yapılması gerekmektedir. </w:t>
      </w:r>
    </w:p>
    <w:p w:rsidR="00000000" w:rsidDel="00000000" w:rsidP="00000000" w:rsidRDefault="00000000" w:rsidRPr="00000000" w14:paraId="00000015">
      <w:pPr>
        <w:spacing w:after="240" w:before="240" w:lineRule="auto"/>
        <w:rPr/>
      </w:pPr>
      <w:r w:rsidDel="00000000" w:rsidR="00000000" w:rsidRPr="00000000">
        <w:rPr>
          <w:rtl w:val="0"/>
        </w:rPr>
        <w:t xml:space="preserve">SONUÇ VE TALEP : Yukarıda açıklamış olduğumuz nedenler ve re’sen gözetilecek diğer durumlar dikkate alınarak; </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 Aile Mahkemesinin … tarih ve … sayılı kararının kaldırılmasına,</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Dosyanın eksikliklerin giderilmesi için ve yeniden hüküm kurulması için yerel mahkemeye gönderilmesine,</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Velayet konusunda çocuğun üstün menfaatinin gözetilmesine,</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Sosyal ve ekonomik durum araştırması sonrasında nafaka ve tazminat miktarlarının yeniden belirlenmesine,</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tl w:val="0"/>
        </w:rPr>
        <w:t xml:space="preserve">Bütün yargılama giderleri ile vekalet ücretinin davalı tarafa yükletilmesine,</w:t>
      </w:r>
    </w:p>
    <w:p w:rsidR="00000000" w:rsidDel="00000000" w:rsidP="00000000" w:rsidRDefault="00000000" w:rsidRPr="00000000" w14:paraId="0000001B">
      <w:pPr>
        <w:spacing w:after="240" w:before="240" w:lineRule="auto"/>
        <w:rPr/>
      </w:pPr>
      <w:r w:rsidDel="00000000" w:rsidR="00000000" w:rsidRPr="00000000">
        <w:rPr>
          <w:rtl w:val="0"/>
        </w:rPr>
        <w:t xml:space="preserve">Karar verilmesi arz ve talep olunur. (tarih ve imza)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