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nnxfsn1ob2n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Anlaşmalı Boşanma İstinaf Dilekçesi Örneği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 BÖLGE ADLİYE MAHKEMESİ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İlgili Hukuk Dairesine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Gönderilmek Üzere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 AİLE MAHKEMESİ’NE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İSTİNAF TALEBİNDE BULUNAN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Adı Soyadı :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 :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KARŞI TARAF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Adı Soyadı :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 :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DOSYA BİLGİLERİ : … Aile Mahkemesinin … tarih ve sayılı kararı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KARAR TARİHİ : …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TEBLİĞ TARİHİ : …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İSTİNAF NEDENLERİ :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Yukarıda açık kimlik ve adres bilgileri yazılı taraflar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Türk Medeni Kanununun</w:t>
        </w:r>
      </w:hyperlink>
      <w:r w:rsidDel="00000000" w:rsidR="00000000" w:rsidRPr="00000000">
        <w:rPr>
          <w:rtl w:val="0"/>
        </w:rPr>
        <w:t xml:space="preserve"> 166/3 maddesi gereğince serbest ve birbirlerine uyumlu iradeleri ile boşanma konusunda anlaşmışlardır. Buna ilişkin taraflar arasında … tarihli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anlaşmalı boşanma protokolü</w:t>
        </w:r>
      </w:hyperlink>
      <w:r w:rsidDel="00000000" w:rsidR="00000000" w:rsidRPr="00000000">
        <w:rPr>
          <w:rtl w:val="0"/>
        </w:rPr>
        <w:t xml:space="preserve"> düzenlenmiş ve imza altına alınmıştır.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Usulüne uygun ve tarafların; Nafaka, velayet, mal paylaşımı ve çocuk ile kişisel ilişki taleplerine uygun bir şekilde düzenlenen anlaşmalı boşanma protokolü mahkeme tarafından dikkate alınmayarak hüküm kurulmuştur.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Anlaşmalı boşanma davalarında eşlerin özgür iradeleri ile düzenlemiş olduğu anlaşmalı boşanma protokolleri önemli bir delil niteliğinde olmasına karşın yerel mahkemece bu protokol göz ardı edilerek karar verilmiştir.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Yerel mahkemenin vermiş olduğu ve herhangi bir gerekçe içermeyen … sayılı kararı HMK’nın 297 ve devamı maddelerine aykırıdır.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SONUÇ ve TALEP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Yukarıda açıklamış olduğumuz nedenlerle;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… Aile Mahkemesinin … tarih ve … sayılı kararının kaldırılmasına,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Tarafların anlaşmalı boşanma protokolünde kabul etmiş olduğu hususlar hüküm altına alınarak boşanmalarına karar verilmesine,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Anlaşmalı boşanma protokolünde yer alan diğer hususların kabulüne,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Yargılama giderleri ile vekalet ücretinin boşanma protokolünde yer aldığı şekilde ilgili tarafa yükletilmesine,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Karar verilmesi arz ve talep olunur. (tarih ve imzalar)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kursadari.av.tr/aile-hukuku/anlasmali-bosanma-protokolu-ornegi/" TargetMode="External"/><Relationship Id="rId5" Type="http://schemas.openxmlformats.org/officeDocument/2006/relationships/styles" Target="styles.xml"/><Relationship Id="rId6" Type="http://schemas.openxmlformats.org/officeDocument/2006/relationships/hyperlink" Target="https://mevzuat.gov.tr/mevzuatmetin/1.5.4721.pdf" TargetMode="External"/><Relationship Id="rId7" Type="http://schemas.openxmlformats.org/officeDocument/2006/relationships/hyperlink" Target="https://mevzuat.gov.tr/mevzuatmetin/1.5.4721.pdf" TargetMode="External"/><Relationship Id="rId8" Type="http://schemas.openxmlformats.org/officeDocument/2006/relationships/hyperlink" Target="https://mkursadari.av.tr/aile-hukuku/anlasmali-bosanma-protokolu-orne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