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mufhw7uvgc1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Hukuk İstinaf Başvuru Dilekçesi Örneği (Asliye Hukuk)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 BÖLGE ADLİYE MAHKEMESİ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İlgili Hukuk Dairesine Gönderilmek Üzere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 MAHKEMESİ’NE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İSTİNAF TALEBİNDE BULUNAN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 Soyad :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T.C. Kimlik No :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 :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Vekili :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KARŞI TARAF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 Soyad :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 : 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DOSYA NO : … Asliye Hukuk Mahkemesinin …/… esas, … tarih ve …/… sayılı kararı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TEBLİĞ TARİHİ : …/…/…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İSTİNAF NEDENLERİ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Yukarıda esas ve karar numarası yazılı … Asliye Hukuk Mahkemesinin kararı hukuka ve usule aykırıdır.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… tarihli dilekçemiz ile olaya ilişkin detaylı delillerimizi sunmuş olmamıza rağmen mahkemece bu deliller değerlendirilmeksizin karar verilmiştir.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Sunmuş olduğumuz bu deliller esasa etki edebilecek nitelikte olup herhangi bir şekilde kıyasa imkan vermektedir.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Delillerin eksik olarak incelenmesi nedeniyle yerel mahkeme maddi olayın tespitinde yanılgıya düşmüştür.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SONUÇ VE TALEP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Yukarıda izah ettiğimiz nedenlerden dolayı,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… Asliye Hukuk Mahkemesinin …/… sayılı kararının kaldırılmasına ve dosyasının yeniden incelenerek hakkaniyete ve hukuka uygun şekilde karar verilmesi arz ve talep olunur. (Tarih ve İmza)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