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9fky0ltarq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Süre Tutum Dilekçesi Örneği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BÖLGE ADLİYE MAHKEMESİ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CEZA DAİRESİ’NE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Gönderilmek Üzere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CEZA DAİRESİ BAŞKANLIĞI’NA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SÜRE TUTUM TALEP EDEN :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Adı Soyadı :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T.C. Kimlik No 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KARŞI TARAF :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Adı Soyadı 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VEKİLİ :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DOSYA NO : … Ceza Mahkemesinin … tarih ve … sayılı kararı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SÜRE TUTUM TALEBİ GEREKÇELERİ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Ceza Mahkemesinin … tarihli vermiş olduğu karar henüz tarafımıza tebliğ edilmemiştir.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Kararın içeriği ve gerekçesine göre temyiz / istinaf sebeplerini ayrıntılı bir şeklide mahkemenize sunma imkanımız bu aşamada bulunmamaktadır.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İstinaf / temyiz kanun yoluna başvuru süresinin kaçırılmaması adına mahkemenize gerekçeli kararın tebliğinden sonra detaylı istinaf dilekçesini sunmak için süre tutum dilekçesini sunuyorum.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 nedenle gerekçeli kararın tebliğinden sonra detaylı dilekçe sunma hakkımız saklıdır.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Süre tutum dilekçemizin kabulü ile gerekçeli kararın tarafımıza tebliği arz ve talep olunur. (tarih ve imza)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